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872895" w14:textId="77777777" w:rsidR="00DA49CD" w:rsidRPr="002E1F7D" w:rsidRDefault="00DA49CD" w:rsidP="00DA49CD">
      <w:pPr>
        <w:rPr>
          <w:rFonts w:ascii="Trebuchet MS" w:hAnsi="Trebuchet MS"/>
          <w:b/>
          <w:sz w:val="24"/>
          <w:szCs w:val="24"/>
        </w:rPr>
      </w:pPr>
      <w:r w:rsidRPr="002E1F7D">
        <w:rPr>
          <w:rFonts w:ascii="Trebuchet MS" w:hAnsi="Trebuchet MS"/>
          <w:b/>
          <w:noProof/>
          <w:sz w:val="24"/>
          <w:szCs w:val="24"/>
          <w:lang w:eastAsia="en-GB"/>
        </w:rPr>
        <w:drawing>
          <wp:inline distT="0" distB="0" distL="0" distR="0" wp14:anchorId="29E76897" wp14:editId="2DA42A0B">
            <wp:extent cx="1176793" cy="1176793"/>
            <wp:effectExtent l="0" t="0" r="4445" b="4445"/>
            <wp:docPr id="2" name="Picture 2" descr="C:\Users\Helena\Desktop\CPRE - Campaign Manager\NNG Campaign\NNGO Logo Files\PNG\NNGO-LOGO-Colour-WhiteBG-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elena\Desktop\CPRE - Campaign Manager\NNG Campaign\NNGO Logo Files\PNG\NNGO-LOGO-Colour-WhiteBG-larg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509" cy="11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CC95F" w14:textId="77777777" w:rsidR="00DA49CD" w:rsidRPr="002E1F7D" w:rsidRDefault="00DA49CD" w:rsidP="00DA49CD">
      <w:pPr>
        <w:spacing w:before="80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Planning for Real </w:t>
      </w:r>
      <w:r w:rsidRPr="002E1F7D">
        <w:rPr>
          <w:rFonts w:ascii="Trebuchet MS" w:eastAsia="Times New Roman" w:hAnsi="Trebuchet MS" w:cs="Times New Roman"/>
          <w:b/>
          <w:bCs/>
          <w:color w:val="00B050"/>
          <w:sz w:val="24"/>
          <w:szCs w:val="24"/>
          <w:lang w:eastAsia="en-GB"/>
        </w:rPr>
        <w:t>NEED</w:t>
      </w: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 not Speculator </w:t>
      </w:r>
      <w:r w:rsidRPr="002E1F7D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n-GB"/>
        </w:rPr>
        <w:t>GREED </w:t>
      </w: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in Oxfordshire</w:t>
      </w:r>
    </w:p>
    <w:p w14:paraId="0C363B46" w14:textId="77777777" w:rsidR="00153983" w:rsidRDefault="00153983" w:rsidP="002E1F7D">
      <w:pPr>
        <w:rPr>
          <w:rFonts w:ascii="Trebuchet MS" w:hAnsi="Trebuchet MS"/>
          <w:b/>
          <w:sz w:val="24"/>
          <w:szCs w:val="24"/>
          <w:u w:val="single"/>
        </w:rPr>
      </w:pPr>
    </w:p>
    <w:p w14:paraId="178CA65A" w14:textId="1F8D9D6C" w:rsidR="00153983" w:rsidRPr="00B964EB" w:rsidRDefault="002E1F7D" w:rsidP="00153983">
      <w:pPr>
        <w:jc w:val="center"/>
        <w:rPr>
          <w:rFonts w:ascii="Trebuchet MS" w:hAnsi="Trebuchet MS"/>
          <w:b/>
          <w:sz w:val="28"/>
          <w:szCs w:val="28"/>
        </w:rPr>
      </w:pPr>
      <w:r w:rsidRPr="00B964EB">
        <w:rPr>
          <w:rFonts w:ascii="Trebuchet MS" w:hAnsi="Trebuchet MS"/>
          <w:b/>
          <w:sz w:val="28"/>
          <w:szCs w:val="28"/>
        </w:rPr>
        <w:t>Need not Greed Oxfordshire response to One O</w:t>
      </w:r>
      <w:r w:rsidR="00153983" w:rsidRPr="00B964EB">
        <w:rPr>
          <w:rFonts w:ascii="Trebuchet MS" w:hAnsi="Trebuchet MS"/>
          <w:b/>
          <w:sz w:val="28"/>
          <w:szCs w:val="28"/>
        </w:rPr>
        <w:t>xfordshire Unitary Consultation</w:t>
      </w:r>
    </w:p>
    <w:p w14:paraId="09D68DD6" w14:textId="77777777" w:rsidR="004E44EF" w:rsidRPr="00B964EB" w:rsidRDefault="002E1F7D" w:rsidP="00153983">
      <w:pPr>
        <w:jc w:val="center"/>
        <w:rPr>
          <w:rFonts w:ascii="Trebuchet MS" w:hAnsi="Trebuchet MS"/>
          <w:b/>
          <w:sz w:val="28"/>
          <w:szCs w:val="28"/>
        </w:rPr>
      </w:pPr>
      <w:r w:rsidRPr="00B964EB">
        <w:rPr>
          <w:rFonts w:ascii="Trebuchet MS" w:hAnsi="Trebuchet MS"/>
          <w:b/>
          <w:sz w:val="28"/>
          <w:szCs w:val="28"/>
        </w:rPr>
        <w:t xml:space="preserve"> February 2017</w:t>
      </w:r>
    </w:p>
    <w:p w14:paraId="2B13CE53" w14:textId="77777777" w:rsidR="00902BD5" w:rsidRDefault="00902BD5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31DF095D" w14:textId="77777777" w:rsidR="00902BD5" w:rsidRDefault="00902BD5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70B48C91" w14:textId="78FCE45E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Need not Greed Oxfordshire is a coalition of 3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1</w:t>
      </w: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local organisations from across the county, who are dedicated to protecting Oxfordshire’s rural environment, whilst recognising the development and infrastructure needs of local residents and others.</w:t>
      </w:r>
    </w:p>
    <w:p w14:paraId="59818CD6" w14:textId="77777777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5A04D8D0" w14:textId="77777777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The coalition was set up to challenge the county’s ‘forced economic growth </w:t>
      </w:r>
    </w:p>
    <w:p w14:paraId="06FE930F" w14:textId="6DB5093B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strategy’ and to offer an alternative vision for the future of the county – one that is based on meeting local people’s real needs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,</w:t>
      </w: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not speculator greed.</w:t>
      </w:r>
    </w:p>
    <w:p w14:paraId="6F5C64B6" w14:textId="77777777" w:rsidR="002E1F7D" w:rsidRPr="002E1F7D" w:rsidRDefault="002E1F7D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46909826" w14:textId="15F6F343" w:rsidR="002E1F7D" w:rsidRPr="00153983" w:rsidRDefault="00924A17" w:rsidP="002E1F7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The coalition does not have a position on the overall structure of local authority organisation in the county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and therefore does not endorse the single County Unitary proposal or those being offered by some District / City Councils</w:t>
      </w:r>
      <w:r w:rsidR="002E1F7D"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. However, we welcome the opportunity to respond to the One Oxfordshire Unitary Consultation, since one of the main planks of our campaign work is to ensure that</w:t>
      </w:r>
      <w:r w:rsidR="00650B5B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all proposed </w:t>
      </w:r>
      <w:r w:rsidR="002E1F7D"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county-wide growth plans are open to full public scrutiny and ongoing public engagement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;</w:t>
      </w:r>
      <w:r w:rsidR="002E1F7D"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</w:t>
      </w:r>
      <w:r w:rsidR="00650B5B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and</w:t>
      </w:r>
      <w:r w:rsidR="002E1F7D"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it is on this particular issue that we wish to respond.</w:t>
      </w:r>
      <w:r w:rsidR="00650B5B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</w:t>
      </w:r>
      <w:r w:rsidR="00650B5B" w:rsidRPr="00153983">
        <w:rPr>
          <w:rFonts w:ascii="Trebuchet MS" w:hAnsi="Trebuchet MS"/>
          <w:sz w:val="24"/>
          <w:szCs w:val="24"/>
        </w:rPr>
        <w:t xml:space="preserve">We want to ensure that </w:t>
      </w:r>
      <w:r w:rsidR="00681137">
        <w:rPr>
          <w:rFonts w:ascii="Trebuchet MS" w:hAnsi="Trebuchet MS"/>
          <w:sz w:val="24"/>
          <w:szCs w:val="24"/>
        </w:rPr>
        <w:t>any</w:t>
      </w:r>
      <w:r w:rsidR="00650B5B" w:rsidRPr="00153983">
        <w:rPr>
          <w:rFonts w:ascii="Trebuchet MS" w:hAnsi="Trebuchet MS"/>
          <w:sz w:val="24"/>
          <w:szCs w:val="24"/>
        </w:rPr>
        <w:t xml:space="preserve"> new organisational structure</w:t>
      </w:r>
      <w:r w:rsidR="002E1F7D" w:rsidRPr="00153983">
        <w:rPr>
          <w:rFonts w:ascii="Trebuchet MS" w:hAnsi="Trebuchet MS"/>
          <w:sz w:val="24"/>
          <w:szCs w:val="24"/>
        </w:rPr>
        <w:t xml:space="preserve"> will </w:t>
      </w:r>
      <w:r w:rsidR="004E0BF4">
        <w:rPr>
          <w:rFonts w:ascii="Trebuchet MS" w:hAnsi="Trebuchet MS"/>
          <w:sz w:val="24"/>
          <w:szCs w:val="24"/>
        </w:rPr>
        <w:t xml:space="preserve">foster and </w:t>
      </w:r>
      <w:r w:rsidR="002E1F7D" w:rsidRPr="00153983">
        <w:rPr>
          <w:rFonts w:ascii="Trebuchet MS" w:hAnsi="Trebuchet MS"/>
          <w:sz w:val="24"/>
          <w:szCs w:val="24"/>
        </w:rPr>
        <w:t xml:space="preserve">enhance </w:t>
      </w:r>
      <w:r w:rsidR="004E0BF4">
        <w:rPr>
          <w:rFonts w:ascii="Trebuchet MS" w:hAnsi="Trebuchet MS"/>
          <w:sz w:val="24"/>
          <w:szCs w:val="24"/>
        </w:rPr>
        <w:t>ongoing pub</w:t>
      </w:r>
      <w:r w:rsidR="000B4A71">
        <w:rPr>
          <w:rFonts w:ascii="Trebuchet MS" w:hAnsi="Trebuchet MS"/>
          <w:sz w:val="24"/>
          <w:szCs w:val="24"/>
        </w:rPr>
        <w:t>l</w:t>
      </w:r>
      <w:bookmarkStart w:id="0" w:name="_GoBack"/>
      <w:bookmarkEnd w:id="0"/>
      <w:r w:rsidR="004E0BF4">
        <w:rPr>
          <w:rFonts w:ascii="Trebuchet MS" w:hAnsi="Trebuchet MS"/>
          <w:sz w:val="24"/>
          <w:szCs w:val="24"/>
        </w:rPr>
        <w:t>ic engagement</w:t>
      </w:r>
      <w:r w:rsidR="00681137">
        <w:rPr>
          <w:rFonts w:ascii="Trebuchet MS" w:hAnsi="Trebuchet MS"/>
          <w:sz w:val="24"/>
          <w:szCs w:val="24"/>
        </w:rPr>
        <w:t>, increase transparency</w:t>
      </w:r>
      <w:r w:rsidR="004E0BF4">
        <w:rPr>
          <w:rFonts w:ascii="Trebuchet MS" w:hAnsi="Trebuchet MS"/>
          <w:sz w:val="24"/>
          <w:szCs w:val="24"/>
        </w:rPr>
        <w:t xml:space="preserve"> and </w:t>
      </w:r>
      <w:r w:rsidR="00681137">
        <w:rPr>
          <w:rFonts w:ascii="Trebuchet MS" w:hAnsi="Trebuchet MS"/>
          <w:sz w:val="24"/>
          <w:szCs w:val="24"/>
        </w:rPr>
        <w:t xml:space="preserve">deliver </w:t>
      </w:r>
      <w:r w:rsidR="002E1F7D" w:rsidRPr="00153983">
        <w:rPr>
          <w:rFonts w:ascii="Trebuchet MS" w:hAnsi="Trebuchet MS"/>
          <w:sz w:val="24"/>
          <w:szCs w:val="24"/>
        </w:rPr>
        <w:t>democratic accountability.</w:t>
      </w:r>
    </w:p>
    <w:p w14:paraId="3E86022B" w14:textId="77777777" w:rsidR="00650B5B" w:rsidRDefault="00650B5B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360E0D1B" w14:textId="1823B1B2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We note </w:t>
      </w:r>
      <w:r w:rsidR="001B49D5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and endorse 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the ambition (Page 42 of “A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F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resh Start for Oxfordshire) </w:t>
      </w:r>
      <w:r w:rsidR="001B49D5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“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to </w:t>
      </w: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deliver a council that enables: </w:t>
      </w:r>
    </w:p>
    <w:p w14:paraId="54198459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• communities to </w:t>
      </w:r>
      <w:r w:rsidR="001B49D5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[be] </w:t>
      </w: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shaped by their residents, and where everyone can play an active role in decision-making </w:t>
      </w:r>
    </w:p>
    <w:p w14:paraId="71F7255E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• investment in new homes, jobs, education and transport that creates sustainable economic growth and supports everyone’s quality of life </w:t>
      </w:r>
    </w:p>
    <w:p w14:paraId="31617B97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• everyone to lead the healthiest and most independent life that they can </w:t>
      </w:r>
    </w:p>
    <w:p w14:paraId="03CF0DD3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• everyone to be protected and is safe from abuse and neglect </w:t>
      </w:r>
    </w:p>
    <w:p w14:paraId="39521372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 w:rsidRPr="0068113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• rural and urban environments in the county to be protected and enhanced</w:t>
      </w:r>
      <w:r w:rsidR="001B49D5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”</w:t>
      </w:r>
    </w:p>
    <w:p w14:paraId="1CC0D44F" w14:textId="77777777" w:rsidR="00681137" w:rsidRDefault="00681137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33C301C1" w14:textId="2B67CD1F" w:rsidR="00681137" w:rsidRDefault="001B49D5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Irrespective of the eventual structure adopted, we will continue to lobby for the adoption of policies that deliver these ambitions, underpinned by full recognition </w:t>
      </w:r>
      <w:r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lastRenderedPageBreak/>
        <w:t>that Local Authorities exisit to deliver better services and outcomes in the interests of all residents.</w:t>
      </w:r>
      <w:r w:rsidR="00E87A8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 In essence we seek truly sustainable development, 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that is democratically accountable, </w:t>
      </w:r>
      <w:r w:rsidR="00E87A8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focussed on people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s’</w:t>
      </w:r>
      <w:r w:rsidR="00E87A8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real </w:t>
      </w:r>
      <w:r w:rsidR="00E87A8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needs in a plan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-</w:t>
      </w:r>
      <w:r w:rsidR="00E87A83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led environment</w:t>
      </w:r>
      <w:r w:rsidR="00924A17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>.</w:t>
      </w:r>
    </w:p>
    <w:p w14:paraId="0441812D" w14:textId="77777777" w:rsidR="004E0BF4" w:rsidRPr="002E1F7D" w:rsidRDefault="004E0BF4" w:rsidP="00DA49CD">
      <w:pPr>
        <w:spacing w:after="0" w:line="240" w:lineRule="auto"/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</w:pPr>
    </w:p>
    <w:p w14:paraId="60053F9C" w14:textId="77777777" w:rsidR="002E1F7D" w:rsidRPr="00650B5B" w:rsidRDefault="002E1F7D" w:rsidP="002E1F7D">
      <w:pPr>
        <w:rPr>
          <w:rFonts w:ascii="Trebuchet MS" w:hAnsi="Trebuchet MS"/>
          <w:sz w:val="24"/>
          <w:szCs w:val="24"/>
          <w:u w:val="single"/>
        </w:rPr>
      </w:pPr>
      <w:r w:rsidRPr="00650B5B">
        <w:rPr>
          <w:rFonts w:ascii="Trebuchet MS" w:hAnsi="Trebuchet MS"/>
          <w:sz w:val="24"/>
          <w:szCs w:val="24"/>
          <w:u w:val="single"/>
        </w:rPr>
        <w:t xml:space="preserve">A county wide structure plan, with full </w:t>
      </w:r>
      <w:r w:rsidR="00650B5B" w:rsidRPr="00650B5B">
        <w:rPr>
          <w:rFonts w:ascii="Trebuchet MS" w:hAnsi="Trebuchet MS"/>
          <w:sz w:val="24"/>
          <w:szCs w:val="24"/>
          <w:u w:val="single"/>
        </w:rPr>
        <w:t>and ongoing public engagement,</w:t>
      </w:r>
      <w:r w:rsidRPr="00650B5B">
        <w:rPr>
          <w:rFonts w:ascii="Trebuchet MS" w:hAnsi="Trebuchet MS"/>
          <w:sz w:val="24"/>
          <w:szCs w:val="24"/>
          <w:u w:val="single"/>
        </w:rPr>
        <w:t xml:space="preserve"> subject to </w:t>
      </w:r>
      <w:r w:rsidR="00650B5B" w:rsidRPr="00650B5B">
        <w:rPr>
          <w:rFonts w:ascii="Trebuchet MS" w:hAnsi="Trebuchet MS"/>
          <w:sz w:val="24"/>
          <w:szCs w:val="24"/>
          <w:u w:val="single"/>
        </w:rPr>
        <w:t>full public</w:t>
      </w:r>
      <w:r w:rsidRPr="00650B5B">
        <w:rPr>
          <w:rFonts w:ascii="Trebuchet MS" w:hAnsi="Trebuchet MS"/>
          <w:sz w:val="24"/>
          <w:szCs w:val="24"/>
          <w:u w:val="single"/>
        </w:rPr>
        <w:t xml:space="preserve"> scrutiny</w:t>
      </w:r>
      <w:r w:rsidR="00650B5B" w:rsidRPr="00650B5B">
        <w:rPr>
          <w:rFonts w:ascii="Trebuchet MS" w:hAnsi="Trebuchet MS"/>
          <w:sz w:val="24"/>
          <w:szCs w:val="24"/>
          <w:u w:val="single"/>
        </w:rPr>
        <w:t>,</w:t>
      </w:r>
      <w:r w:rsidRPr="00650B5B">
        <w:rPr>
          <w:rFonts w:ascii="Trebuchet MS" w:hAnsi="Trebuchet MS"/>
          <w:sz w:val="24"/>
          <w:szCs w:val="24"/>
          <w:u w:val="single"/>
        </w:rPr>
        <w:t xml:space="preserve"> via an Examination in Public.</w:t>
      </w:r>
    </w:p>
    <w:p w14:paraId="44664094" w14:textId="277F4057" w:rsidR="00650B5B" w:rsidRPr="002E1F7D" w:rsidRDefault="00650B5B" w:rsidP="00650B5B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NNGO</w:t>
      </w:r>
      <w:r w:rsidRPr="002E1F7D">
        <w:rPr>
          <w:rFonts w:ascii="Trebuchet MS" w:hAnsi="Trebuchet MS"/>
          <w:b/>
          <w:sz w:val="24"/>
          <w:szCs w:val="24"/>
        </w:rPr>
        <w:t xml:space="preserve"> supports the One Oxfordshire </w:t>
      </w:r>
      <w:r>
        <w:rPr>
          <w:rFonts w:ascii="Trebuchet MS" w:hAnsi="Trebuchet MS"/>
          <w:b/>
          <w:sz w:val="24"/>
          <w:szCs w:val="24"/>
        </w:rPr>
        <w:t>determination</w:t>
      </w:r>
      <w:r w:rsidRPr="002E1F7D">
        <w:rPr>
          <w:rFonts w:ascii="Trebuchet MS" w:hAnsi="Trebuchet MS"/>
          <w:b/>
          <w:sz w:val="24"/>
          <w:szCs w:val="24"/>
        </w:rPr>
        <w:t xml:space="preserve"> to introduce a county-wide spatial approach</w:t>
      </w:r>
      <w:r w:rsidR="004D6352">
        <w:rPr>
          <w:rFonts w:ascii="Trebuchet MS" w:hAnsi="Trebuchet MS"/>
          <w:b/>
          <w:sz w:val="24"/>
          <w:szCs w:val="24"/>
        </w:rPr>
        <w:t xml:space="preserve">, irrespective of </w:t>
      </w:r>
      <w:r w:rsidR="00924A17">
        <w:rPr>
          <w:rFonts w:ascii="Trebuchet MS" w:hAnsi="Trebuchet MS"/>
          <w:b/>
          <w:sz w:val="24"/>
          <w:szCs w:val="24"/>
        </w:rPr>
        <w:t>whether</w:t>
      </w:r>
      <w:r w:rsidR="004D6352">
        <w:rPr>
          <w:rFonts w:ascii="Trebuchet MS" w:hAnsi="Trebuchet MS"/>
          <w:b/>
          <w:sz w:val="24"/>
          <w:szCs w:val="24"/>
        </w:rPr>
        <w:t xml:space="preserve"> this were achieved via a County based Unitary or the addition of a Combined Authority sitting above two or more Unitary </w:t>
      </w:r>
      <w:r w:rsidR="0056524F">
        <w:rPr>
          <w:rFonts w:ascii="Trebuchet MS" w:hAnsi="Trebuchet MS"/>
          <w:b/>
          <w:sz w:val="24"/>
          <w:szCs w:val="24"/>
        </w:rPr>
        <w:t>Authorities</w:t>
      </w:r>
      <w:r w:rsidR="004E44EF">
        <w:rPr>
          <w:rFonts w:ascii="Trebuchet MS" w:hAnsi="Trebuchet MS"/>
          <w:sz w:val="24"/>
          <w:szCs w:val="24"/>
        </w:rPr>
        <w:t>.</w:t>
      </w:r>
      <w:r w:rsidR="00902BD5">
        <w:rPr>
          <w:rFonts w:ascii="Trebuchet MS" w:hAnsi="Trebuchet MS"/>
          <w:sz w:val="24"/>
          <w:szCs w:val="24"/>
        </w:rPr>
        <w:t xml:space="preserve"> </w:t>
      </w:r>
      <w:r w:rsidR="004E44EF">
        <w:rPr>
          <w:rFonts w:ascii="Trebuchet MS" w:hAnsi="Trebuchet MS"/>
          <w:sz w:val="24"/>
          <w:szCs w:val="24"/>
        </w:rPr>
        <w:t xml:space="preserve">As such, we endorse </w:t>
      </w:r>
      <w:r w:rsidRPr="002E1F7D">
        <w:rPr>
          <w:rFonts w:ascii="Trebuchet MS" w:hAnsi="Trebuchet MS"/>
          <w:sz w:val="24"/>
          <w:szCs w:val="24"/>
        </w:rPr>
        <w:t>the statement</w:t>
      </w:r>
      <w:r w:rsidR="004E44EF">
        <w:rPr>
          <w:rFonts w:ascii="Trebuchet MS" w:hAnsi="Trebuchet MS"/>
          <w:sz w:val="24"/>
          <w:szCs w:val="24"/>
        </w:rPr>
        <w:t xml:space="preserve"> in the consultation document</w:t>
      </w:r>
      <w:r w:rsidRPr="002E1F7D">
        <w:rPr>
          <w:rFonts w:ascii="Trebuchet MS" w:hAnsi="Trebuchet MS"/>
          <w:sz w:val="24"/>
          <w:szCs w:val="24"/>
        </w:rPr>
        <w:t xml:space="preserve"> that</w:t>
      </w:r>
      <w:r w:rsidR="004E44EF">
        <w:rPr>
          <w:rFonts w:ascii="Trebuchet MS" w:hAnsi="Trebuchet MS"/>
          <w:sz w:val="24"/>
          <w:szCs w:val="24"/>
        </w:rPr>
        <w:t xml:space="preserve"> </w:t>
      </w:r>
      <w:r w:rsidRPr="002E1F7D">
        <w:rPr>
          <w:rFonts w:ascii="Trebuchet MS" w:hAnsi="Trebuchet MS"/>
          <w:sz w:val="24"/>
          <w:szCs w:val="24"/>
        </w:rPr>
        <w:t>‘One of the first tasks for the new authority will be to begin the development of a Strategic Plan for Oxfordshire to serve as the new Local Plan for the whole county, considering need and opportunity across the whole economic area.’</w:t>
      </w:r>
    </w:p>
    <w:p w14:paraId="21C83FBD" w14:textId="2D0DA7C6" w:rsidR="00DA49CD" w:rsidRPr="002E1F7D" w:rsidRDefault="004E44EF" w:rsidP="00DA49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At present, growth targets, including housing and jobs, are proposed for the county as a whole, but the planning is done by our local authorities, via Local Plans.  As a result, there is no proper assessment of the cumulative environmental and social impacts on the county, and no Oxfordshire-wide strategic planning</w:t>
      </w:r>
      <w:r w:rsidR="00924A17">
        <w:rPr>
          <w:rFonts w:ascii="Trebuchet MS" w:hAnsi="Trebuchet MS"/>
          <w:sz w:val="24"/>
          <w:szCs w:val="24"/>
        </w:rPr>
        <w:t>,</w:t>
      </w:r>
      <w:r w:rsidR="005913C9">
        <w:rPr>
          <w:rFonts w:ascii="Trebuchet MS" w:hAnsi="Trebuchet MS"/>
          <w:sz w:val="24"/>
          <w:szCs w:val="24"/>
        </w:rPr>
        <w:t xml:space="preserve"> other than that foisted upon us by the undemocratic unaccountable Local Enterprise Partnership (LEP)</w:t>
      </w:r>
      <w:r>
        <w:rPr>
          <w:rFonts w:ascii="Trebuchet MS" w:hAnsi="Trebuchet MS"/>
          <w:sz w:val="24"/>
          <w:szCs w:val="24"/>
        </w:rPr>
        <w:t xml:space="preserve">. We therefore endorse the statement in the consultation document that </w:t>
      </w:r>
      <w:r w:rsidR="00DA49CD" w:rsidRPr="002E1F7D">
        <w:rPr>
          <w:rFonts w:ascii="Trebuchet MS" w:hAnsi="Trebuchet MS"/>
          <w:sz w:val="24"/>
          <w:szCs w:val="24"/>
        </w:rPr>
        <w:t>the current arrangements ‘do not enable effective and joined up strategic decision</w:t>
      </w:r>
      <w:r w:rsidR="009B51BA">
        <w:rPr>
          <w:rFonts w:ascii="Trebuchet MS" w:hAnsi="Trebuchet MS"/>
          <w:sz w:val="24"/>
          <w:szCs w:val="24"/>
        </w:rPr>
        <w:t>-</w:t>
      </w:r>
      <w:r w:rsidR="00DA49CD" w:rsidRPr="002E1F7D">
        <w:rPr>
          <w:rFonts w:ascii="Trebuchet MS" w:hAnsi="Trebuchet MS"/>
          <w:sz w:val="24"/>
          <w:szCs w:val="24"/>
        </w:rPr>
        <w:t>making in the interests of residents’.</w:t>
      </w:r>
      <w:r w:rsidR="005913C9">
        <w:rPr>
          <w:rFonts w:ascii="Trebuchet MS" w:hAnsi="Trebuchet MS"/>
          <w:sz w:val="24"/>
          <w:szCs w:val="24"/>
        </w:rPr>
        <w:t xml:space="preserve">  However, we seek absolute reassurance that a One Oxfordshire approach will not empower bodies such as the LEP and the Heart of England Strategic Alliance to circumvent democratically accountable decision</w:t>
      </w:r>
      <w:r w:rsidR="00924A17">
        <w:rPr>
          <w:rFonts w:ascii="Trebuchet MS" w:hAnsi="Trebuchet MS"/>
          <w:sz w:val="24"/>
          <w:szCs w:val="24"/>
        </w:rPr>
        <w:t>-</w:t>
      </w:r>
      <w:r w:rsidR="005913C9">
        <w:rPr>
          <w:rFonts w:ascii="Trebuchet MS" w:hAnsi="Trebuchet MS"/>
          <w:sz w:val="24"/>
          <w:szCs w:val="24"/>
        </w:rPr>
        <w:t>making.</w:t>
      </w:r>
    </w:p>
    <w:p w14:paraId="1A420490" w14:textId="77777777" w:rsidR="00DA49CD" w:rsidRDefault="004E44EF" w:rsidP="00DA49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We </w:t>
      </w:r>
      <w:r w:rsidR="005913C9">
        <w:rPr>
          <w:rFonts w:ascii="Trebuchet MS" w:hAnsi="Trebuchet MS"/>
          <w:sz w:val="24"/>
          <w:szCs w:val="24"/>
        </w:rPr>
        <w:t xml:space="preserve">therefore </w:t>
      </w:r>
      <w:r>
        <w:rPr>
          <w:rFonts w:ascii="Trebuchet MS" w:hAnsi="Trebuchet MS"/>
          <w:sz w:val="24"/>
          <w:szCs w:val="24"/>
        </w:rPr>
        <w:t>believe it</w:t>
      </w:r>
      <w:r w:rsidR="00DA49CD" w:rsidRPr="002E1F7D">
        <w:rPr>
          <w:rFonts w:ascii="Trebuchet MS" w:hAnsi="Trebuchet MS"/>
          <w:sz w:val="24"/>
          <w:szCs w:val="24"/>
        </w:rPr>
        <w:t xml:space="preserve"> is </w:t>
      </w:r>
      <w:r>
        <w:rPr>
          <w:rFonts w:ascii="Trebuchet MS" w:hAnsi="Trebuchet MS"/>
          <w:sz w:val="24"/>
          <w:szCs w:val="24"/>
        </w:rPr>
        <w:t>imperative</w:t>
      </w:r>
      <w:r w:rsidR="00DA49CD" w:rsidRPr="002E1F7D">
        <w:rPr>
          <w:rFonts w:ascii="Trebuchet MS" w:hAnsi="Trebuchet MS"/>
          <w:sz w:val="24"/>
          <w:szCs w:val="24"/>
        </w:rPr>
        <w:t xml:space="preserve"> that there is a county-wide structure plan to address this issue</w:t>
      </w:r>
      <w:r w:rsidR="005913C9">
        <w:rPr>
          <w:rFonts w:ascii="Trebuchet MS" w:hAnsi="Trebuchet MS"/>
          <w:sz w:val="24"/>
          <w:szCs w:val="24"/>
        </w:rPr>
        <w:t>, subject to the above concerns</w:t>
      </w:r>
      <w:r w:rsidR="00DA49CD" w:rsidRPr="002E1F7D">
        <w:rPr>
          <w:rFonts w:ascii="Trebuchet MS" w:hAnsi="Trebuchet MS"/>
          <w:sz w:val="24"/>
          <w:szCs w:val="24"/>
        </w:rPr>
        <w:t>.</w:t>
      </w:r>
    </w:p>
    <w:p w14:paraId="657BD456" w14:textId="74C13E41" w:rsidR="00DA49CD" w:rsidRDefault="004E44EF" w:rsidP="00DA49CD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NNGO</w:t>
      </w:r>
      <w:r w:rsidRPr="002E1F7D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would also like to see</w:t>
      </w:r>
      <w:r w:rsidRPr="002E1F7D">
        <w:rPr>
          <w:rFonts w:ascii="Trebuchet MS" w:hAnsi="Trebuchet MS"/>
          <w:b/>
          <w:sz w:val="24"/>
          <w:szCs w:val="24"/>
        </w:rPr>
        <w:t xml:space="preserve"> the </w:t>
      </w:r>
      <w:r w:rsidRPr="004E44EF">
        <w:rPr>
          <w:rFonts w:ascii="Trebuchet MS" w:hAnsi="Trebuchet MS"/>
          <w:b/>
          <w:sz w:val="24"/>
          <w:szCs w:val="24"/>
        </w:rPr>
        <w:t>One Oxfordshire document</w:t>
      </w:r>
      <w:r>
        <w:rPr>
          <w:rFonts w:ascii="Trebuchet MS" w:hAnsi="Trebuchet MS"/>
          <w:b/>
          <w:sz w:val="24"/>
          <w:szCs w:val="24"/>
        </w:rPr>
        <w:t xml:space="preserve"> amended</w:t>
      </w:r>
      <w:r w:rsidRPr="002E1F7D">
        <w:rPr>
          <w:rFonts w:ascii="Trebuchet MS" w:hAnsi="Trebuchet MS"/>
          <w:b/>
          <w:sz w:val="24"/>
          <w:szCs w:val="24"/>
        </w:rPr>
        <w:t xml:space="preserve"> to make a clear commitment to </w:t>
      </w:r>
      <w:r w:rsidR="00153983" w:rsidRPr="00153983">
        <w:rPr>
          <w:rFonts w:ascii="Trebuchet MS" w:eastAsia="Times New Roman" w:hAnsi="Trebuchet MS" w:cs="Times New Roman"/>
          <w:b/>
          <w:noProof/>
          <w:sz w:val="24"/>
          <w:szCs w:val="24"/>
          <w:lang w:eastAsia="en-GB"/>
        </w:rPr>
        <w:t>full public scrutiny and ongoing public engagement</w:t>
      </w:r>
      <w:r w:rsidR="00153983" w:rsidRPr="002E1F7D">
        <w:rPr>
          <w:rFonts w:ascii="Trebuchet MS" w:eastAsia="Times New Roman" w:hAnsi="Trebuchet MS" w:cs="Times New Roman"/>
          <w:noProof/>
          <w:sz w:val="24"/>
          <w:szCs w:val="24"/>
          <w:lang w:eastAsia="en-GB"/>
        </w:rPr>
        <w:t xml:space="preserve"> </w:t>
      </w:r>
      <w:r w:rsidRPr="002E1F7D">
        <w:rPr>
          <w:rFonts w:ascii="Trebuchet MS" w:hAnsi="Trebuchet MS"/>
          <w:b/>
          <w:sz w:val="24"/>
          <w:szCs w:val="24"/>
        </w:rPr>
        <w:t xml:space="preserve">in </w:t>
      </w:r>
      <w:r w:rsidR="004D6352">
        <w:rPr>
          <w:rFonts w:ascii="Trebuchet MS" w:hAnsi="Trebuchet MS"/>
          <w:b/>
          <w:sz w:val="24"/>
          <w:szCs w:val="24"/>
        </w:rPr>
        <w:t xml:space="preserve">all forms of the </w:t>
      </w:r>
      <w:r w:rsidR="005913C9">
        <w:rPr>
          <w:rFonts w:ascii="Trebuchet MS" w:hAnsi="Trebuchet MS"/>
          <w:b/>
          <w:sz w:val="24"/>
          <w:szCs w:val="24"/>
        </w:rPr>
        <w:t xml:space="preserve">planning </w:t>
      </w:r>
      <w:r w:rsidR="004D6352">
        <w:rPr>
          <w:rFonts w:ascii="Trebuchet MS" w:hAnsi="Trebuchet MS"/>
          <w:b/>
          <w:sz w:val="24"/>
          <w:szCs w:val="24"/>
        </w:rPr>
        <w:t>process including Local Transport, Infrastructure, Minerals and Waste and</w:t>
      </w:r>
      <w:r w:rsidR="00682983">
        <w:rPr>
          <w:rFonts w:ascii="Trebuchet MS" w:hAnsi="Trebuchet MS"/>
          <w:b/>
          <w:sz w:val="24"/>
          <w:szCs w:val="24"/>
        </w:rPr>
        <w:t>,</w:t>
      </w:r>
      <w:r w:rsidR="004D6352">
        <w:rPr>
          <w:rFonts w:ascii="Trebuchet MS" w:hAnsi="Trebuchet MS"/>
          <w:b/>
          <w:sz w:val="24"/>
          <w:szCs w:val="24"/>
        </w:rPr>
        <w:t xml:space="preserve"> most importantly</w:t>
      </w:r>
      <w:r w:rsidR="00682983">
        <w:rPr>
          <w:rFonts w:ascii="Trebuchet MS" w:hAnsi="Trebuchet MS"/>
          <w:b/>
          <w:sz w:val="24"/>
          <w:szCs w:val="24"/>
        </w:rPr>
        <w:t>,</w:t>
      </w:r>
      <w:r w:rsidR="004D6352">
        <w:rPr>
          <w:rFonts w:ascii="Trebuchet MS" w:hAnsi="Trebuchet MS"/>
          <w:b/>
          <w:sz w:val="24"/>
          <w:szCs w:val="24"/>
        </w:rPr>
        <w:t xml:space="preserve"> the replacement Local Plan</w:t>
      </w:r>
      <w:r w:rsidR="00682983">
        <w:rPr>
          <w:rFonts w:ascii="Trebuchet MS" w:hAnsi="Trebuchet MS"/>
          <w:b/>
          <w:sz w:val="24"/>
          <w:szCs w:val="24"/>
        </w:rPr>
        <w:t>.</w:t>
      </w:r>
      <w:r w:rsidRPr="002E1F7D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We believe</w:t>
      </w:r>
      <w:r w:rsidR="00DA49CD" w:rsidRPr="002E1F7D">
        <w:rPr>
          <w:rFonts w:ascii="Trebuchet MS" w:hAnsi="Trebuchet MS"/>
          <w:sz w:val="24"/>
          <w:szCs w:val="24"/>
        </w:rPr>
        <w:t xml:space="preserve"> mechanisms</w:t>
      </w:r>
      <w:r>
        <w:rPr>
          <w:rFonts w:ascii="Trebuchet MS" w:hAnsi="Trebuchet MS"/>
          <w:sz w:val="24"/>
          <w:szCs w:val="24"/>
        </w:rPr>
        <w:t xml:space="preserve"> must be put</w:t>
      </w:r>
      <w:r w:rsidR="00DA49CD" w:rsidRPr="002E1F7D">
        <w:rPr>
          <w:rFonts w:ascii="Trebuchet MS" w:hAnsi="Trebuchet MS"/>
          <w:sz w:val="24"/>
          <w:szCs w:val="24"/>
        </w:rPr>
        <w:t xml:space="preserve"> in place to ensure there is full </w:t>
      </w:r>
      <w:r w:rsidR="00153983">
        <w:rPr>
          <w:rFonts w:ascii="Trebuchet MS" w:hAnsi="Trebuchet MS"/>
          <w:sz w:val="24"/>
          <w:szCs w:val="24"/>
        </w:rPr>
        <w:t xml:space="preserve">public scrutiny and </w:t>
      </w:r>
      <w:r w:rsidR="00650B5B">
        <w:rPr>
          <w:rFonts w:ascii="Trebuchet MS" w:hAnsi="Trebuchet MS"/>
          <w:sz w:val="24"/>
          <w:szCs w:val="24"/>
        </w:rPr>
        <w:t xml:space="preserve">ongoing </w:t>
      </w:r>
      <w:r w:rsidR="00DA49CD" w:rsidRPr="002E1F7D">
        <w:rPr>
          <w:rFonts w:ascii="Trebuchet MS" w:hAnsi="Trebuchet MS"/>
          <w:sz w:val="24"/>
          <w:szCs w:val="24"/>
        </w:rPr>
        <w:t xml:space="preserve">public engagement in </w:t>
      </w:r>
      <w:r w:rsidR="00682983">
        <w:rPr>
          <w:rFonts w:ascii="Trebuchet MS" w:hAnsi="Trebuchet MS"/>
          <w:sz w:val="24"/>
          <w:szCs w:val="24"/>
        </w:rPr>
        <w:t>all</w:t>
      </w:r>
      <w:r w:rsidR="00682983" w:rsidRPr="002E1F7D">
        <w:rPr>
          <w:rFonts w:ascii="Trebuchet MS" w:hAnsi="Trebuchet MS"/>
          <w:sz w:val="24"/>
          <w:szCs w:val="24"/>
        </w:rPr>
        <w:t xml:space="preserve"> </w:t>
      </w:r>
      <w:r w:rsidR="00F21FB5">
        <w:rPr>
          <w:rFonts w:ascii="Trebuchet MS" w:hAnsi="Trebuchet MS"/>
          <w:sz w:val="24"/>
          <w:szCs w:val="24"/>
        </w:rPr>
        <w:t>P</w:t>
      </w:r>
      <w:r w:rsidR="00DA49CD" w:rsidRPr="002E1F7D">
        <w:rPr>
          <w:rFonts w:ascii="Trebuchet MS" w:hAnsi="Trebuchet MS"/>
          <w:sz w:val="24"/>
          <w:szCs w:val="24"/>
        </w:rPr>
        <w:t>lan</w:t>
      </w:r>
      <w:r w:rsidR="00153983">
        <w:rPr>
          <w:rFonts w:ascii="Trebuchet MS" w:hAnsi="Trebuchet MS"/>
          <w:sz w:val="24"/>
          <w:szCs w:val="24"/>
        </w:rPr>
        <w:t xml:space="preserve"> process</w:t>
      </w:r>
      <w:r w:rsidR="00F21FB5">
        <w:rPr>
          <w:rFonts w:ascii="Trebuchet MS" w:hAnsi="Trebuchet MS"/>
          <w:sz w:val="24"/>
          <w:szCs w:val="24"/>
        </w:rPr>
        <w:t>es</w:t>
      </w:r>
      <w:r w:rsidR="00DA49CD" w:rsidRPr="002E1F7D">
        <w:rPr>
          <w:rFonts w:ascii="Trebuchet MS" w:hAnsi="Trebuchet MS"/>
          <w:sz w:val="24"/>
          <w:szCs w:val="24"/>
        </w:rPr>
        <w:t xml:space="preserve"> and</w:t>
      </w:r>
      <w:r>
        <w:rPr>
          <w:rFonts w:ascii="Trebuchet MS" w:hAnsi="Trebuchet MS"/>
          <w:sz w:val="24"/>
          <w:szCs w:val="24"/>
        </w:rPr>
        <w:t xml:space="preserve"> furthermore that</w:t>
      </w:r>
      <w:r w:rsidR="00DA49CD" w:rsidRPr="002E1F7D">
        <w:rPr>
          <w:rFonts w:ascii="Trebuchet MS" w:hAnsi="Trebuchet MS"/>
          <w:sz w:val="24"/>
          <w:szCs w:val="24"/>
        </w:rPr>
        <w:t xml:space="preserve"> </w:t>
      </w:r>
      <w:r w:rsidR="005913C9">
        <w:rPr>
          <w:rFonts w:ascii="Trebuchet MS" w:hAnsi="Trebuchet MS"/>
          <w:sz w:val="24"/>
          <w:szCs w:val="24"/>
        </w:rPr>
        <w:t>they</w:t>
      </w:r>
      <w:r w:rsidR="00DA49CD" w:rsidRPr="002E1F7D">
        <w:rPr>
          <w:rFonts w:ascii="Trebuchet MS" w:hAnsi="Trebuchet MS"/>
          <w:sz w:val="24"/>
          <w:szCs w:val="24"/>
        </w:rPr>
        <w:t xml:space="preserve"> must be subject to independent scrutiny via public examination led by a Planning Inspector. This is </w:t>
      </w:r>
      <w:r>
        <w:rPr>
          <w:rFonts w:ascii="Trebuchet MS" w:hAnsi="Trebuchet MS"/>
          <w:sz w:val="24"/>
          <w:szCs w:val="24"/>
        </w:rPr>
        <w:t xml:space="preserve">currently </w:t>
      </w:r>
      <w:r w:rsidR="00DA49CD" w:rsidRPr="002E1F7D">
        <w:rPr>
          <w:rFonts w:ascii="Trebuchet MS" w:hAnsi="Trebuchet MS"/>
          <w:sz w:val="24"/>
          <w:szCs w:val="24"/>
        </w:rPr>
        <w:t xml:space="preserve">implied, but not clearly </w:t>
      </w:r>
      <w:r w:rsidR="009B51BA">
        <w:rPr>
          <w:rFonts w:ascii="Trebuchet MS" w:hAnsi="Trebuchet MS"/>
          <w:sz w:val="24"/>
          <w:szCs w:val="24"/>
        </w:rPr>
        <w:t>spelt out</w:t>
      </w:r>
      <w:r w:rsidR="00DA49CD" w:rsidRPr="002E1F7D">
        <w:rPr>
          <w:rFonts w:ascii="Trebuchet MS" w:hAnsi="Trebuchet MS"/>
          <w:sz w:val="24"/>
          <w:szCs w:val="24"/>
        </w:rPr>
        <w:t xml:space="preserve"> in the </w:t>
      </w:r>
      <w:r>
        <w:rPr>
          <w:rFonts w:ascii="Trebuchet MS" w:hAnsi="Trebuchet MS"/>
          <w:sz w:val="24"/>
          <w:szCs w:val="24"/>
        </w:rPr>
        <w:t>consultation</w:t>
      </w:r>
      <w:r w:rsidR="00DA49CD" w:rsidRPr="002E1F7D">
        <w:rPr>
          <w:rFonts w:ascii="Trebuchet MS" w:hAnsi="Trebuchet MS"/>
          <w:sz w:val="24"/>
          <w:szCs w:val="24"/>
        </w:rPr>
        <w:t xml:space="preserve"> document.  </w:t>
      </w:r>
    </w:p>
    <w:p w14:paraId="0CC78233" w14:textId="20BBA40B" w:rsidR="004E44EF" w:rsidRPr="00902BD5" w:rsidRDefault="009B51BA" w:rsidP="00DA49CD">
      <w:pPr>
        <w:rPr>
          <w:rFonts w:ascii="Trebuchet MS" w:hAnsi="Trebuchet MS"/>
          <w:sz w:val="24"/>
          <w:szCs w:val="24"/>
        </w:rPr>
      </w:pPr>
      <w:r w:rsidRPr="00902BD5">
        <w:rPr>
          <w:rFonts w:ascii="Trebuchet MS" w:hAnsi="Trebuchet MS" w:cs="Calibri"/>
          <w:sz w:val="24"/>
          <w:szCs w:val="24"/>
        </w:rPr>
        <w:t>We believe any re-organisation of local authority structure for Oxfordshire should be seized as a valuable opportunity to enhance democratic accountability and we will be seeking to hold those responsible to account for delivering this outcome.</w:t>
      </w:r>
    </w:p>
    <w:p w14:paraId="7CCBB6B9" w14:textId="77777777" w:rsidR="00902BD5" w:rsidRDefault="00902BD5" w:rsidP="00DA49CD">
      <w:pPr>
        <w:rPr>
          <w:rFonts w:ascii="Trebuchet MS" w:hAnsi="Trebuchet MS"/>
          <w:sz w:val="24"/>
          <w:szCs w:val="24"/>
        </w:rPr>
      </w:pPr>
    </w:p>
    <w:p w14:paraId="5CDA900E" w14:textId="77777777" w:rsidR="00DA49CD" w:rsidRPr="00B964EB" w:rsidRDefault="004E44EF" w:rsidP="00DA49CD">
      <w:pPr>
        <w:rPr>
          <w:rFonts w:ascii="Trebuchet MS" w:hAnsi="Trebuchet MS"/>
          <w:b/>
          <w:sz w:val="24"/>
          <w:szCs w:val="24"/>
        </w:rPr>
      </w:pPr>
      <w:r w:rsidRPr="00B964EB">
        <w:rPr>
          <w:rFonts w:ascii="Trebuchet MS" w:hAnsi="Trebuchet MS"/>
          <w:b/>
          <w:sz w:val="24"/>
          <w:szCs w:val="24"/>
        </w:rPr>
        <w:t>Helena Whall</w:t>
      </w:r>
    </w:p>
    <w:p w14:paraId="47D54566" w14:textId="77777777" w:rsidR="00DA49CD" w:rsidRPr="00B964EB" w:rsidRDefault="004E44EF" w:rsidP="00DA49CD">
      <w:pPr>
        <w:rPr>
          <w:rFonts w:ascii="Trebuchet MS" w:hAnsi="Trebuchet MS"/>
          <w:b/>
          <w:sz w:val="24"/>
          <w:szCs w:val="24"/>
        </w:rPr>
      </w:pPr>
      <w:r w:rsidRPr="00B964EB">
        <w:rPr>
          <w:rFonts w:ascii="Trebuchet MS" w:hAnsi="Trebuchet MS"/>
          <w:b/>
          <w:sz w:val="24"/>
          <w:szCs w:val="24"/>
        </w:rPr>
        <w:t>On behalf of the Need not Greed Oxfordshire coalition</w:t>
      </w:r>
    </w:p>
    <w:p w14:paraId="5BD42B80" w14:textId="77777777" w:rsidR="00DA49CD" w:rsidRPr="002E1F7D" w:rsidRDefault="00DA49CD" w:rsidP="00DA49CD">
      <w:pPr>
        <w:spacing w:before="80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noProof/>
          <w:color w:val="1F497D"/>
          <w:sz w:val="24"/>
          <w:szCs w:val="24"/>
          <w:lang w:eastAsia="en-GB"/>
        </w:rPr>
        <w:drawing>
          <wp:inline distT="0" distB="0" distL="0" distR="0" wp14:anchorId="0DEDC2E3" wp14:editId="755A3E9A">
            <wp:extent cx="579170" cy="5791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70" cy="57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1F7D">
        <w:rPr>
          <w:rFonts w:ascii="Trebuchet MS" w:eastAsia="Times New Roman" w:hAnsi="Trebuchet MS" w:cs="Times New Roman"/>
          <w:noProof/>
          <w:color w:val="1F497D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2220865E" wp14:editId="54CF97B1">
                <wp:extent cx="723265" cy="723265"/>
                <wp:effectExtent l="0" t="0" r="0" b="635"/>
                <wp:docPr id="4" name="Rectangle 4" descr="NNGO Logo For Just Givi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0CCA5F1" id="Rectangle 4" o:spid="_x0000_s1026" alt="NNGO Logo For Just Giving (1)" style="width:56.9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2E1F7D">
        <w:rPr>
          <w:rFonts w:ascii="Trebuchet MS" w:eastAsia="Times New Roman" w:hAnsi="Trebuchet MS" w:cs="Times New Roman"/>
          <w:noProof/>
          <w:color w:val="1F497D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AFB4F72" wp14:editId="5623A2B4">
                <wp:extent cx="723265" cy="723265"/>
                <wp:effectExtent l="0" t="0" r="0" b="635"/>
                <wp:docPr id="3" name="Rectangle 3" descr="NNGO Logo For Just Giving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2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7540ECAE" id="Rectangle 3" o:spid="_x0000_s1026" alt="NNGO Logo For Just Giving (1)" style="width:56.95pt;height:5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" filled="f" stroked="f">
                <o:lock v:ext="edit" aspectratio="t"/>
                <w10:anchorlock/>
              </v:rect>
            </w:pict>
          </mc:Fallback>
        </mc:AlternateContent>
      </w:r>
      <w:r w:rsidRPr="002E1F7D">
        <w:rPr>
          <w:rFonts w:ascii="Trebuchet MS" w:eastAsia="Times New Roman" w:hAnsi="Trebuchet MS" w:cs="Times New Roman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 wp14:anchorId="3025A883" wp14:editId="2FBE6A41">
                <wp:extent cx="779145" cy="779145"/>
                <wp:effectExtent l="0" t="0" r="0" b="0"/>
                <wp:docPr id="1" name="Rectangle 1" descr="cid:image003.png@01D1487B.C955DD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A5F20B9" id="Rectangle 1" o:spid="_x0000_s1026" alt="cid:image003.png@01D1487B.C955DD80" style="width:61.35pt;height:6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7595B858" w14:textId="77777777" w:rsidR="00DA49CD" w:rsidRPr="002E1F7D" w:rsidRDefault="00DA49CD" w:rsidP="00DA49CD">
      <w:pPr>
        <w:spacing w:before="80" w:after="0" w:line="240" w:lineRule="auto"/>
        <w:rPr>
          <w:rFonts w:ascii="Trebuchet MS" w:eastAsia="Times New Roman" w:hAnsi="Trebuchet MS" w:cs="Times New Roman"/>
          <w:color w:val="000000"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Planning for Real </w:t>
      </w:r>
      <w:r w:rsidRPr="002E1F7D">
        <w:rPr>
          <w:rFonts w:ascii="Trebuchet MS" w:eastAsia="Times New Roman" w:hAnsi="Trebuchet MS" w:cs="Times New Roman"/>
          <w:b/>
          <w:bCs/>
          <w:color w:val="00B050"/>
          <w:sz w:val="24"/>
          <w:szCs w:val="24"/>
          <w:lang w:eastAsia="en-GB"/>
        </w:rPr>
        <w:t>NEED</w:t>
      </w: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 not Speculator </w:t>
      </w:r>
      <w:r w:rsidRPr="002E1F7D">
        <w:rPr>
          <w:rFonts w:ascii="Trebuchet MS" w:eastAsia="Times New Roman" w:hAnsi="Trebuchet MS" w:cs="Times New Roman"/>
          <w:b/>
          <w:bCs/>
          <w:color w:val="FF0000"/>
          <w:sz w:val="24"/>
          <w:szCs w:val="24"/>
          <w:lang w:eastAsia="en-GB"/>
        </w:rPr>
        <w:t>GREED </w:t>
      </w:r>
      <w:r w:rsidRPr="002E1F7D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en-GB"/>
        </w:rPr>
        <w:t>in Oxfordshire</w:t>
      </w:r>
    </w:p>
    <w:p w14:paraId="0BCE08ED" w14:textId="77777777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  <w:r w:rsidRPr="002E1F7D">
        <w:rPr>
          <w:rFonts w:ascii="Trebuchet MS" w:eastAsia="Times New Roman" w:hAnsi="Trebuchet MS" w:cs="Times New Roman"/>
          <w:sz w:val="24"/>
          <w:szCs w:val="24"/>
          <w:lang w:eastAsia="en-GB"/>
        </w:rPr>
        <w:t>Coalition Secretariat, c/o CPRE Oxfordshire, First Floor, 20 High Street, Watlington, Oxon OX49 5PY.</w:t>
      </w:r>
    </w:p>
    <w:p w14:paraId="7A39106F" w14:textId="77777777" w:rsidR="00DA49CD" w:rsidRPr="002E1F7D" w:rsidRDefault="00DA49CD" w:rsidP="00DA49CD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en-GB"/>
        </w:rPr>
      </w:pPr>
    </w:p>
    <w:p w14:paraId="7A387632" w14:textId="77777777" w:rsidR="00DA49CD" w:rsidRPr="002E1F7D" w:rsidRDefault="00DA49CD" w:rsidP="00DA49CD">
      <w:pPr>
        <w:spacing w:after="0" w:line="240" w:lineRule="auto"/>
        <w:rPr>
          <w:rFonts w:ascii="Trebuchet MS" w:hAnsi="Trebuchet MS"/>
          <w:sz w:val="24"/>
          <w:szCs w:val="24"/>
        </w:rPr>
      </w:pPr>
      <w:r w:rsidRPr="002E1F7D">
        <w:rPr>
          <w:rFonts w:ascii="Trebuchet MS" w:hAnsi="Trebuchet MS"/>
          <w:sz w:val="24"/>
          <w:szCs w:val="24"/>
        </w:rPr>
        <w:t xml:space="preserve">Website: </w:t>
      </w:r>
      <w:hyperlink r:id="rId11" w:history="1">
        <w:r w:rsidRPr="002E1F7D">
          <w:rPr>
            <w:rStyle w:val="Hyperlink"/>
            <w:rFonts w:ascii="Trebuchet MS" w:hAnsi="Trebuchet MS"/>
            <w:sz w:val="24"/>
            <w:szCs w:val="24"/>
          </w:rPr>
          <w:t>www.neednotgreedoxon.org.uk</w:t>
        </w:r>
      </w:hyperlink>
    </w:p>
    <w:p w14:paraId="631B5060" w14:textId="77777777" w:rsidR="00175FC8" w:rsidRPr="002E1F7D" w:rsidRDefault="00175FC8">
      <w:pPr>
        <w:rPr>
          <w:rFonts w:ascii="Trebuchet MS" w:hAnsi="Trebuchet MS"/>
          <w:sz w:val="24"/>
          <w:szCs w:val="24"/>
        </w:rPr>
      </w:pPr>
    </w:p>
    <w:sectPr w:rsidR="00175FC8" w:rsidRPr="002E1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A55AD35" w15:done="0"/>
  <w15:commentEx w15:paraId="254ED604" w15:done="0"/>
  <w15:commentEx w15:paraId="5C7512CC" w15:done="0"/>
  <w15:commentEx w15:paraId="5C1D60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B2415" w14:textId="77777777" w:rsidR="00CA555E" w:rsidRDefault="00CA555E" w:rsidP="00DA49CD">
      <w:pPr>
        <w:spacing w:after="0" w:line="240" w:lineRule="auto"/>
      </w:pPr>
      <w:r>
        <w:separator/>
      </w:r>
    </w:p>
  </w:endnote>
  <w:endnote w:type="continuationSeparator" w:id="0">
    <w:p w14:paraId="01718051" w14:textId="77777777" w:rsidR="00CA555E" w:rsidRDefault="00CA555E" w:rsidP="00DA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CBBA08" w14:textId="77777777" w:rsidR="00CA555E" w:rsidRDefault="00CA555E" w:rsidP="00DA49CD">
      <w:pPr>
        <w:spacing w:after="0" w:line="240" w:lineRule="auto"/>
      </w:pPr>
      <w:r>
        <w:separator/>
      </w:r>
    </w:p>
  </w:footnote>
  <w:footnote w:type="continuationSeparator" w:id="0">
    <w:p w14:paraId="4B5AF424" w14:textId="77777777" w:rsidR="00CA555E" w:rsidRDefault="00CA555E" w:rsidP="00DA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035D"/>
    <w:multiLevelType w:val="hybridMultilevel"/>
    <w:tmpl w:val="16783A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in Thomas">
    <w15:presenceInfo w15:providerId="Windows Live" w15:userId="014c510e069430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CD"/>
    <w:rsid w:val="000B4A71"/>
    <w:rsid w:val="00153983"/>
    <w:rsid w:val="00175FC8"/>
    <w:rsid w:val="001B49D5"/>
    <w:rsid w:val="002C15F1"/>
    <w:rsid w:val="002E1F7D"/>
    <w:rsid w:val="004D6352"/>
    <w:rsid w:val="004E0BF4"/>
    <w:rsid w:val="004E44EF"/>
    <w:rsid w:val="004E71FF"/>
    <w:rsid w:val="0056524F"/>
    <w:rsid w:val="005913C9"/>
    <w:rsid w:val="005E6DDA"/>
    <w:rsid w:val="00650B5B"/>
    <w:rsid w:val="00681137"/>
    <w:rsid w:val="00682983"/>
    <w:rsid w:val="007014F7"/>
    <w:rsid w:val="00902BD5"/>
    <w:rsid w:val="00924A17"/>
    <w:rsid w:val="009A38B1"/>
    <w:rsid w:val="009B51BA"/>
    <w:rsid w:val="009C4625"/>
    <w:rsid w:val="00A7622E"/>
    <w:rsid w:val="00B964EB"/>
    <w:rsid w:val="00BE5ADE"/>
    <w:rsid w:val="00CA555E"/>
    <w:rsid w:val="00DA49CD"/>
    <w:rsid w:val="00E87A83"/>
    <w:rsid w:val="00EC42F3"/>
    <w:rsid w:val="00F21FB5"/>
    <w:rsid w:val="00F27ECD"/>
    <w:rsid w:val="00FB0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6E9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9C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49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49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49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F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9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C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9CD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49C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49C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49C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E0B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B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B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B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B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6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eednotgreedoxon.org.uk" TargetMode="Externa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9AB00-486B-4D5D-B7D4-E506D2EAF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Helena Whall</dc:creator>
  <cp:lastModifiedBy>Dr Helena Whall</cp:lastModifiedBy>
  <cp:revision>2</cp:revision>
  <dcterms:created xsi:type="dcterms:W3CDTF">2017-03-01T11:03:00Z</dcterms:created>
  <dcterms:modified xsi:type="dcterms:W3CDTF">2017-03-01T11:03:00Z</dcterms:modified>
</cp:coreProperties>
</file>